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678995  РФ,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ОАО  «Нерюнгрибанк»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74B29714" w:rsidR="00584EF2" w:rsidRPr="00584EF2" w:rsidRDefault="002B2110"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3503F4">
        <w:rPr>
          <w:rFonts w:ascii="Times New Roman" w:eastAsia="Times New Roman" w:hAnsi="Times New Roman" w:cs="Times New Roman"/>
          <w:sz w:val="24"/>
          <w:szCs w:val="24"/>
          <w:lang w:eastAsia="ru-RU"/>
        </w:rPr>
        <w:t>.03</w:t>
      </w:r>
      <w:r w:rsidR="00D8776C">
        <w:rPr>
          <w:rFonts w:ascii="Times New Roman" w:eastAsia="Times New Roman" w:hAnsi="Times New Roman" w:cs="Times New Roman"/>
          <w:sz w:val="24"/>
          <w:szCs w:val="24"/>
          <w:lang w:eastAsia="ru-RU"/>
        </w:rPr>
        <w:t xml:space="preserve">.2015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sidR="00884987">
        <w:rPr>
          <w:rFonts w:ascii="Times New Roman" w:eastAsia="Times New Roman" w:hAnsi="Times New Roman" w:cs="Times New Roman"/>
          <w:sz w:val="24"/>
          <w:szCs w:val="24"/>
          <w:lang w:eastAsia="ru-RU"/>
        </w:rPr>
        <w:t>05</w:t>
      </w:r>
      <w:r w:rsidR="003503F4">
        <w:rPr>
          <w:rFonts w:ascii="Times New Roman" w:eastAsia="Times New Roman" w:hAnsi="Times New Roman" w:cs="Times New Roman"/>
          <w:sz w:val="24"/>
          <w:szCs w:val="24"/>
          <w:lang w:eastAsia="ru-RU"/>
        </w:rPr>
        <w:t>/15-1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01F4796" w14:textId="77777777" w:rsidR="00E420F3" w:rsidRDefault="00E420F3" w:rsidP="00E420F3">
      <w:pPr>
        <w:spacing w:after="0" w:line="240" w:lineRule="auto"/>
        <w:jc w:val="both"/>
        <w:rPr>
          <w:rFonts w:ascii="Times New Roman" w:hAnsi="Times New Roman" w:cs="Times New Roman"/>
          <w:i/>
          <w:sz w:val="28"/>
          <w:szCs w:val="28"/>
          <w:shd w:val="clear" w:color="auto" w:fill="FFFF99"/>
        </w:rPr>
      </w:pPr>
    </w:p>
    <w:p w14:paraId="414BFA54" w14:textId="77777777" w:rsidR="001F3675" w:rsidRDefault="001F3675" w:rsidP="00E420F3">
      <w:pPr>
        <w:spacing w:after="0" w:line="240" w:lineRule="auto"/>
        <w:jc w:val="both"/>
        <w:rPr>
          <w:rFonts w:ascii="Times New Roman" w:hAnsi="Times New Roman" w:cs="Times New Roman"/>
          <w:i/>
          <w:sz w:val="28"/>
          <w:szCs w:val="28"/>
          <w:shd w:val="clear" w:color="auto" w:fill="FFFF99"/>
        </w:rPr>
      </w:pPr>
    </w:p>
    <w:p w14:paraId="301F508F" w14:textId="77777777" w:rsidR="001F3675" w:rsidRDefault="001F3675" w:rsidP="001F3675">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3C6241AF"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b/>
          <w:bCs/>
          <w:iCs/>
          <w:sz w:val="24"/>
          <w:szCs w:val="24"/>
          <w:lang w:eastAsia="ru-RU"/>
        </w:rPr>
        <w:t>Уважаемые господа!</w:t>
      </w:r>
    </w:p>
    <w:p w14:paraId="1280A767" w14:textId="77777777" w:rsidR="00CB7948" w:rsidRPr="001F3675" w:rsidRDefault="00CB7948"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P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386D96BB" w14:textId="59097F2C" w:rsidR="001F3675" w:rsidRPr="001F3675" w:rsidRDefault="001F3675" w:rsidP="001F3675">
      <w:pPr>
        <w:spacing w:after="0" w:line="240" w:lineRule="auto"/>
        <w:ind w:left="284"/>
        <w:jc w:val="center"/>
        <w:rPr>
          <w:rFonts w:ascii="Times New Roman" w:eastAsia="Times New Roman" w:hAnsi="Times New Roman" w:cs="Times New Roman"/>
          <w:b/>
          <w:bCs/>
          <w:sz w:val="24"/>
          <w:szCs w:val="24"/>
          <w:lang w:eastAsia="ru-RU"/>
        </w:rPr>
      </w:pPr>
      <w:r w:rsidRPr="001F3675">
        <w:rPr>
          <w:rFonts w:ascii="Times New Roman" w:eastAsia="Times New Roman" w:hAnsi="Times New Roman" w:cs="Times New Roman"/>
          <w:b/>
          <w:sz w:val="24"/>
          <w:szCs w:val="24"/>
          <w:lang w:eastAsia="ru-RU"/>
        </w:rPr>
        <w:t>«Выполнение р</w:t>
      </w:r>
      <w:r w:rsidR="00E82BF6">
        <w:rPr>
          <w:rFonts w:ascii="Times New Roman" w:eastAsia="Times New Roman" w:hAnsi="Times New Roman" w:cs="Times New Roman"/>
          <w:b/>
          <w:sz w:val="24"/>
          <w:szCs w:val="24"/>
          <w:lang w:eastAsia="ru-RU"/>
        </w:rPr>
        <w:t xml:space="preserve">абот по реконструкции </w:t>
      </w:r>
      <w:r w:rsidR="00A169BC">
        <w:rPr>
          <w:rFonts w:ascii="Times New Roman" w:eastAsia="Times New Roman" w:hAnsi="Times New Roman" w:cs="Times New Roman"/>
          <w:b/>
          <w:sz w:val="24"/>
          <w:szCs w:val="24"/>
          <w:lang w:eastAsia="ru-RU"/>
        </w:rPr>
        <w:t xml:space="preserve">турбоагрегата </w:t>
      </w:r>
      <w:r w:rsidR="00A169BC">
        <w:rPr>
          <w:rFonts w:ascii="Times New Roman" w:eastAsia="Times New Roman" w:hAnsi="Times New Roman" w:cs="Times New Roman"/>
          <w:b/>
          <w:sz w:val="24"/>
          <w:szCs w:val="24"/>
          <w:lang w:val="en-US" w:eastAsia="ru-RU"/>
        </w:rPr>
        <w:t>T</w:t>
      </w:r>
      <w:r w:rsidR="00A169BC" w:rsidRPr="00A169BC">
        <w:rPr>
          <w:rFonts w:ascii="Times New Roman" w:eastAsia="Times New Roman" w:hAnsi="Times New Roman" w:cs="Times New Roman"/>
          <w:b/>
          <w:sz w:val="24"/>
          <w:szCs w:val="24"/>
          <w:lang w:eastAsia="ru-RU"/>
        </w:rPr>
        <w:t>-18</w:t>
      </w:r>
      <w:r w:rsidR="00A330B7">
        <w:rPr>
          <w:rFonts w:ascii="Times New Roman" w:eastAsia="Times New Roman" w:hAnsi="Times New Roman" w:cs="Times New Roman"/>
          <w:b/>
          <w:sz w:val="24"/>
          <w:szCs w:val="24"/>
          <w:lang w:eastAsia="ru-RU"/>
        </w:rPr>
        <w:t>0</w:t>
      </w:r>
      <w:r w:rsidR="00A169BC" w:rsidRPr="00A169BC">
        <w:rPr>
          <w:rFonts w:ascii="Times New Roman" w:eastAsia="Times New Roman" w:hAnsi="Times New Roman" w:cs="Times New Roman"/>
          <w:b/>
          <w:sz w:val="24"/>
          <w:szCs w:val="24"/>
          <w:lang w:eastAsia="ru-RU"/>
        </w:rPr>
        <w:t xml:space="preserve">/210-130 </w:t>
      </w:r>
      <w:r w:rsidR="00A169BC">
        <w:rPr>
          <w:rFonts w:ascii="Times New Roman" w:eastAsia="Times New Roman" w:hAnsi="Times New Roman" w:cs="Times New Roman"/>
          <w:b/>
          <w:sz w:val="24"/>
          <w:szCs w:val="24"/>
          <w:lang w:eastAsia="ru-RU"/>
        </w:rPr>
        <w:t>энергоблока</w:t>
      </w:r>
      <w:r w:rsidRPr="001F3675">
        <w:rPr>
          <w:rFonts w:ascii="Times New Roman" w:eastAsia="Times New Roman" w:hAnsi="Times New Roman" w:cs="Times New Roman"/>
          <w:b/>
          <w:sz w:val="24"/>
          <w:szCs w:val="24"/>
          <w:lang w:eastAsia="ru-RU"/>
        </w:rPr>
        <w:t xml:space="preserve"> </w:t>
      </w:r>
      <w:r w:rsidR="00A169BC">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b/>
          <w:sz w:val="24"/>
          <w:szCs w:val="24"/>
          <w:lang w:eastAsia="ru-RU"/>
        </w:rPr>
        <w:t>ст. №3 НГРЭС. Субподрядные работы».</w:t>
      </w:r>
    </w:p>
    <w:p w14:paraId="5F3C56BA" w14:textId="2416A7AC"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Срок выполнения  работ/оказания услуг</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Pr>
          <w:rFonts w:ascii="Times New Roman" w:eastAsia="Times New Roman" w:hAnsi="Times New Roman" w:cs="Times New Roman"/>
          <w:b/>
          <w:iCs/>
          <w:sz w:val="24"/>
          <w:szCs w:val="24"/>
          <w:lang w:eastAsia="ru-RU"/>
        </w:rPr>
        <w:t>11 мая</w:t>
      </w:r>
      <w:r w:rsidRPr="001F3675">
        <w:rPr>
          <w:rFonts w:ascii="Times New Roman" w:eastAsia="Times New Roman" w:hAnsi="Times New Roman" w:cs="Times New Roman"/>
          <w:b/>
          <w:iCs/>
          <w:sz w:val="24"/>
          <w:szCs w:val="24"/>
          <w:lang w:eastAsia="ru-RU"/>
        </w:rPr>
        <w:t xml:space="preserve">  по 3</w:t>
      </w:r>
      <w:r>
        <w:rPr>
          <w:rFonts w:ascii="Times New Roman" w:eastAsia="Times New Roman" w:hAnsi="Times New Roman" w:cs="Times New Roman"/>
          <w:b/>
          <w:iCs/>
          <w:sz w:val="24"/>
          <w:szCs w:val="24"/>
          <w:lang w:eastAsia="ru-RU"/>
        </w:rPr>
        <w:t>1</w:t>
      </w:r>
      <w:r w:rsidRPr="001F3675">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sz w:val="24"/>
          <w:szCs w:val="24"/>
          <w:lang w:eastAsia="ru-RU"/>
        </w:rPr>
        <w:t>июля</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2C27D416"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Pr="00A05765">
        <w:rPr>
          <w:rFonts w:ascii="Times New Roman" w:eastAsia="Times New Roman" w:hAnsi="Times New Roman" w:cs="Times New Roman"/>
          <w:sz w:val="24"/>
          <w:szCs w:val="24"/>
          <w:lang w:eastAsia="ru-RU"/>
        </w:rPr>
        <w:t>ПТО</w:t>
      </w:r>
      <w:r w:rsidRPr="001F3675">
        <w:rPr>
          <w:rFonts w:ascii="Times New Roman" w:eastAsia="Times New Roman" w:hAnsi="Times New Roman" w:cs="Times New Roman"/>
          <w:sz w:val="24"/>
          <w:szCs w:val="24"/>
          <w:lang w:eastAsia="ru-RU"/>
        </w:rPr>
        <w:t xml:space="preserve">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0454799E" w14:textId="1EEDB4CD"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Семчук Ярослав Васильевич</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 главного инженера</w:t>
      </w:r>
      <w:r w:rsidRPr="001F3675">
        <w:rPr>
          <w:rFonts w:ascii="Times New Roman" w:eastAsia="Times New Roman" w:hAnsi="Times New Roman" w:cs="Times New Roman"/>
          <w:sz w:val="24"/>
          <w:szCs w:val="24"/>
          <w:lang w:eastAsia="ru-RU"/>
        </w:rPr>
        <w:t xml:space="preserve">, тел (41147) </w:t>
      </w:r>
      <w:r>
        <w:rPr>
          <w:rFonts w:ascii="Times New Roman" w:eastAsia="Times New Roman" w:hAnsi="Times New Roman" w:cs="Times New Roman"/>
          <w:sz w:val="24"/>
          <w:szCs w:val="24"/>
          <w:lang w:eastAsia="ru-RU"/>
        </w:rPr>
        <w:t>7-93-29, доб. 103.</w:t>
      </w:r>
      <w:r w:rsidRPr="001F3675">
        <w:rPr>
          <w:rFonts w:ascii="Times New Roman" w:eastAsia="Times New Roman" w:hAnsi="Times New Roman" w:cs="Times New Roman"/>
          <w:sz w:val="24"/>
          <w:szCs w:val="24"/>
          <w:lang w:eastAsia="ru-RU"/>
        </w:rPr>
        <w:t>,</w:t>
      </w:r>
    </w:p>
    <w:p w14:paraId="37CA4D68" w14:textId="3A40DDD4" w:rsidR="001F3675" w:rsidRPr="001F3675" w:rsidRDefault="001F3675" w:rsidP="001F3675">
      <w:pPr>
        <w:spacing w:after="0" w:line="240" w:lineRule="auto"/>
        <w:ind w:left="284" w:hanging="142"/>
        <w:jc w:val="both"/>
        <w:rPr>
          <w:rFonts w:ascii="Times New Roman" w:eastAsia="Times New Roman" w:hAnsi="Times New Roman" w:cs="Times New Roman"/>
          <w:sz w:val="24"/>
          <w:szCs w:val="24"/>
          <w:lang w:val="en-US" w:eastAsia="ru-RU"/>
        </w:rPr>
      </w:pPr>
      <w:r w:rsidRPr="00D06C08">
        <w:rPr>
          <w:rFonts w:ascii="Times New Roman" w:eastAsia="Times New Roman" w:hAnsi="Times New Roman" w:cs="Times New Roman"/>
          <w:sz w:val="26"/>
          <w:szCs w:val="24"/>
          <w:lang w:eastAsia="ru-RU"/>
        </w:rPr>
        <w:t xml:space="preserve">                                                       </w:t>
      </w:r>
      <w:proofErr w:type="gramStart"/>
      <w:r w:rsidRPr="001F3675">
        <w:rPr>
          <w:rFonts w:ascii="Times New Roman" w:eastAsia="Times New Roman" w:hAnsi="Times New Roman" w:cs="Times New Roman"/>
          <w:sz w:val="26"/>
          <w:szCs w:val="24"/>
          <w:lang w:val="en-US" w:eastAsia="ru-RU"/>
        </w:rPr>
        <w:t>e-mail</w:t>
      </w:r>
      <w:proofErr w:type="gramEnd"/>
      <w:r w:rsidRPr="001F3675">
        <w:rPr>
          <w:rFonts w:ascii="Times New Roman" w:eastAsia="Times New Roman" w:hAnsi="Times New Roman" w:cs="Times New Roman"/>
          <w:sz w:val="26"/>
          <w:szCs w:val="24"/>
          <w:lang w:val="en-US" w:eastAsia="ru-RU"/>
        </w:rPr>
        <w:t>:</w:t>
      </w:r>
      <w:r w:rsidRPr="001F3675">
        <w:rPr>
          <w:lang w:val="en-US"/>
        </w:rPr>
        <w:t xml:space="preserve"> </w:t>
      </w:r>
      <w:r w:rsidRPr="001F3675">
        <w:rPr>
          <w:rFonts w:ascii="Times New Roman" w:eastAsia="Times New Roman" w:hAnsi="Times New Roman" w:cs="Times New Roman"/>
          <w:color w:val="0000FF"/>
          <w:sz w:val="24"/>
          <w:szCs w:val="24"/>
          <w:lang w:val="en-US" w:eastAsia="ru-RU"/>
        </w:rPr>
        <w:t>semchuk@oaoner.ru</w:t>
      </w:r>
      <w:r w:rsidRPr="001F3675">
        <w:rPr>
          <w:rFonts w:ascii="Times New Roman" w:eastAsia="Times New Roman" w:hAnsi="Times New Roman" w:cs="Times New Roman"/>
          <w:sz w:val="24"/>
          <w:szCs w:val="24"/>
          <w:u w:val="single"/>
          <w:lang w:val="en-US" w:eastAsia="ru-RU"/>
        </w:rPr>
        <w:t>;</w:t>
      </w:r>
    </w:p>
    <w:p w14:paraId="670872A9" w14:textId="7D418C2A"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sidR="00A330B7">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00A330B7">
        <w:rPr>
          <w:rFonts w:ascii="Times New Roman" w:eastAsia="Times New Roman" w:hAnsi="Times New Roman" w:cs="Times New Roman"/>
          <w:sz w:val="24"/>
          <w:szCs w:val="24"/>
          <w:lang w:eastAsia="ru-RU"/>
        </w:rPr>
        <w:t>, Тел: (8-41147)95-1-16</w:t>
      </w:r>
      <w:r w:rsidRPr="001F3675">
        <w:rPr>
          <w:rFonts w:ascii="Times New Roman" w:eastAsia="Times New Roman" w:hAnsi="Times New Roman" w:cs="Times New Roman"/>
          <w:sz w:val="24"/>
          <w:szCs w:val="24"/>
          <w:lang w:eastAsia="ru-RU"/>
        </w:rPr>
        <w:t>,</w:t>
      </w:r>
    </w:p>
    <w:p w14:paraId="4A239C1B" w14:textId="1B429462" w:rsidR="001F3675" w:rsidRPr="001F3675" w:rsidRDefault="001F3675" w:rsidP="001F3675">
      <w:pPr>
        <w:spacing w:after="0" w:line="240" w:lineRule="auto"/>
        <w:ind w:left="284" w:hanging="142"/>
        <w:rPr>
          <w:rFonts w:ascii="Times New Roman" w:eastAsia="Times New Roman" w:hAnsi="Times New Roman" w:cs="Times New Roman"/>
          <w:sz w:val="24"/>
          <w:szCs w:val="24"/>
          <w:lang w:val="en-US" w:eastAsia="ru-RU"/>
        </w:rPr>
      </w:pPr>
      <w:r w:rsidRPr="00884987">
        <w:rPr>
          <w:rFonts w:ascii="Times New Roman" w:eastAsia="Times New Roman" w:hAnsi="Times New Roman" w:cs="Times New Roman"/>
          <w:sz w:val="24"/>
          <w:szCs w:val="24"/>
          <w:lang w:eastAsia="ru-RU"/>
        </w:rPr>
        <w:t xml:space="preserve">                                                           </w:t>
      </w:r>
      <w:proofErr w:type="gramStart"/>
      <w:r w:rsidRPr="001F3675">
        <w:rPr>
          <w:rFonts w:ascii="Times New Roman" w:eastAsia="Times New Roman" w:hAnsi="Times New Roman" w:cs="Times New Roman"/>
          <w:sz w:val="24"/>
          <w:szCs w:val="24"/>
          <w:lang w:val="en-US" w:eastAsia="ru-RU"/>
        </w:rPr>
        <w:t>e-mail</w:t>
      </w:r>
      <w:proofErr w:type="gramEnd"/>
      <w:r w:rsidRPr="001F3675">
        <w:rPr>
          <w:rFonts w:ascii="Times New Roman" w:eastAsia="Times New Roman" w:hAnsi="Times New Roman" w:cs="Times New Roman"/>
          <w:sz w:val="24"/>
          <w:szCs w:val="24"/>
          <w:lang w:val="en-US" w:eastAsia="ru-RU"/>
        </w:rPr>
        <w:t xml:space="preserve">: </w:t>
      </w:r>
      <w:r w:rsidR="003A65D9">
        <w:rPr>
          <w:rFonts w:ascii="Times New Roman" w:eastAsia="Times New Roman" w:hAnsi="Times New Roman" w:cs="Times New Roman"/>
          <w:color w:val="0000FF"/>
          <w:sz w:val="24"/>
          <w:szCs w:val="24"/>
          <w:lang w:val="en-US" w:eastAsia="ru-RU"/>
        </w:rPr>
        <w:t>pto</w:t>
      </w:r>
      <w:r w:rsidR="003A65D9" w:rsidRPr="003A65D9">
        <w:rPr>
          <w:rFonts w:ascii="Times New Roman" w:eastAsia="Times New Roman" w:hAnsi="Times New Roman" w:cs="Times New Roman"/>
          <w:color w:val="0000FF"/>
          <w:sz w:val="24"/>
          <w:szCs w:val="24"/>
          <w:lang w:val="en-US" w:eastAsia="ru-RU"/>
        </w:rPr>
        <w:t>1</w:t>
      </w:r>
      <w:r>
        <w:rPr>
          <w:rFonts w:ascii="Times New Roman" w:eastAsia="Times New Roman" w:hAnsi="Times New Roman" w:cs="Times New Roman"/>
          <w:color w:val="0000FF"/>
          <w:sz w:val="24"/>
          <w:szCs w:val="24"/>
          <w:lang w:val="en-US" w:eastAsia="ru-RU"/>
        </w:rPr>
        <w:t>@oaoner.ru/</w:t>
      </w:r>
    </w:p>
    <w:p w14:paraId="541279E0" w14:textId="0B886FF8" w:rsidR="001F3675" w:rsidRPr="001F3675" w:rsidRDefault="001F3675" w:rsidP="001F3675">
      <w:pPr>
        <w:spacing w:after="0" w:line="240" w:lineRule="auto"/>
        <w:ind w:left="284" w:hanging="142"/>
        <w:rPr>
          <w:rFonts w:ascii="Times New Roman" w:eastAsia="Times New Roman" w:hAnsi="Times New Roman" w:cs="Times New Roman"/>
          <w:color w:val="0000FF"/>
          <w:sz w:val="24"/>
          <w:szCs w:val="24"/>
          <w:lang w:val="en-US" w:eastAsia="ru-RU"/>
        </w:rPr>
      </w:pPr>
      <w:r w:rsidRPr="001F3675">
        <w:rPr>
          <w:rFonts w:ascii="Times New Roman" w:eastAsia="Times New Roman" w:hAnsi="Times New Roman" w:cs="Times New Roman"/>
          <w:sz w:val="24"/>
          <w:szCs w:val="24"/>
          <w:lang w:val="en-US" w:eastAsia="ru-RU"/>
        </w:rPr>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0AC00774" w14:textId="2E8850F5" w:rsidR="001F3675" w:rsidRPr="005F435B" w:rsidRDefault="00463A67" w:rsidP="001F3675">
      <w:pPr>
        <w:pStyle w:val="a2"/>
        <w:numPr>
          <w:ilvl w:val="0"/>
          <w:numId w:val="0"/>
        </w:numPr>
        <w:tabs>
          <w:tab w:val="left" w:pos="567"/>
        </w:tabs>
        <w:spacing w:before="0" w:line="240" w:lineRule="auto"/>
        <w:contextualSpacing/>
        <w:rPr>
          <w:b/>
          <w:i/>
          <w:sz w:val="24"/>
          <w:u w:val="single"/>
        </w:rPr>
      </w:pPr>
      <w:r>
        <w:rPr>
          <w:sz w:val="24"/>
        </w:rPr>
        <w:t>Основанием для оплаты выполненных работ являются подписанные сторонами акты приемки выполненных работ, с приложением счетов-фактур и сертификатов на материалы, принятые к оплате Подрядчиком в установленном порядке</w:t>
      </w:r>
      <w:r w:rsidR="005F435B">
        <w:rPr>
          <w:sz w:val="24"/>
        </w:rPr>
        <w:t>. Расчет по договору производится Подрядчиком по следующей схеме</w:t>
      </w:r>
      <w:r w:rsidR="005F435B" w:rsidRPr="005F435B">
        <w:rPr>
          <w:sz w:val="24"/>
        </w:rPr>
        <w:t>:</w:t>
      </w:r>
      <w:r w:rsidR="005F435B">
        <w:rPr>
          <w:sz w:val="24"/>
        </w:rPr>
        <w:t xml:space="preserve"> 100% от стоимости выполненных работ в течении 60 дней с момента предоставления первичной отчетности (КС-2, КС-3, счет-фактура, счет), возможно досрочное погашение стоимости выполненных работ</w:t>
      </w:r>
    </w:p>
    <w:p w14:paraId="03EA9814" w14:textId="0C285AFB" w:rsidR="001F3675" w:rsidRPr="001F3675" w:rsidRDefault="001F3675" w:rsidP="001F3675">
      <w:pPr>
        <w:pStyle w:val="a2"/>
        <w:numPr>
          <w:ilvl w:val="0"/>
          <w:numId w:val="0"/>
        </w:numPr>
        <w:tabs>
          <w:tab w:val="left" w:pos="567"/>
        </w:tabs>
        <w:spacing w:before="0" w:line="240" w:lineRule="auto"/>
        <w:contextualSpacing/>
        <w:rPr>
          <w:sz w:val="24"/>
        </w:rPr>
      </w:pPr>
      <w:r w:rsidRPr="001F3675">
        <w:rPr>
          <w:sz w:val="24"/>
        </w:rPr>
        <w:t>За услуги Подрядчи</w:t>
      </w:r>
      <w:r w:rsidR="005F435B">
        <w:rPr>
          <w:sz w:val="24"/>
        </w:rPr>
        <w:t>ка Субподрядчик оплачивает ему 8</w:t>
      </w:r>
      <w:r w:rsidRPr="001F3675">
        <w:rPr>
          <w:sz w:val="24"/>
        </w:rPr>
        <w:t>% от стоимости выполненных работ в соответствии с</w:t>
      </w:r>
      <w:r w:rsidR="005F435B">
        <w:rPr>
          <w:sz w:val="24"/>
        </w:rPr>
        <w:t>о статьей 747 ГК РФ, в течение 60</w:t>
      </w:r>
      <w:r w:rsidRPr="001F3675">
        <w:rPr>
          <w:sz w:val="24"/>
        </w:rPr>
        <w:t xml:space="preserve"> дней с того момента как будут приняты к оплате выполненные объемы работ.</w:t>
      </w:r>
    </w:p>
    <w:p w14:paraId="79108CB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33820155" w14:textId="0337091B"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005F435B">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4CE95FF"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lastRenderedPageBreak/>
        <w:t>6.</w:t>
      </w:r>
      <w:r w:rsidR="005F435B">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Исполнитель 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40AF1A36"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A05765" w:rsidRPr="00687E83">
        <w:rPr>
          <w:rFonts w:ascii="Times New Roman" w:eastAsia="Times New Roman" w:hAnsi="Times New Roman" w:cs="Times New Roman"/>
          <w:b/>
          <w:bCs/>
          <w:i/>
          <w:iCs/>
          <w:sz w:val="24"/>
          <w:szCs w:val="24"/>
          <w:lang w:eastAsia="ru-RU"/>
        </w:rPr>
        <w:t>20</w:t>
      </w:r>
      <w:r w:rsidRPr="001F3675">
        <w:rPr>
          <w:rFonts w:ascii="Times New Roman" w:eastAsia="Times New Roman" w:hAnsi="Times New Roman" w:cs="Times New Roman"/>
          <w:b/>
          <w:bCs/>
          <w:i/>
          <w:iCs/>
          <w:sz w:val="24"/>
          <w:szCs w:val="24"/>
          <w:lang w:eastAsia="ru-RU"/>
        </w:rPr>
        <w:t>» марта</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001C51FC"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Pr="001F3675">
        <w:rPr>
          <w:rFonts w:ascii="Times New Roman" w:eastAsia="Times New Roman" w:hAnsi="Times New Roman" w:cs="Times New Roman"/>
          <w:sz w:val="24"/>
          <w:szCs w:val="24"/>
          <w:lang w:eastAsia="ru-RU"/>
        </w:rPr>
        <w:t xml:space="preserve"> 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r w:rsidRPr="001F3675">
        <w:rPr>
          <w:rFonts w:ascii="Times New Roman" w:eastAsia="Times New Roman" w:hAnsi="Times New Roman" w:cs="Times New Roman"/>
          <w:sz w:val="24"/>
          <w:szCs w:val="24"/>
          <w:lang w:eastAsia="ru-RU"/>
        </w:rPr>
        <w:t xml:space="preserve">: </w:t>
      </w:r>
      <w:proofErr w:type="spellStart"/>
      <w:r w:rsidR="00A05765">
        <w:rPr>
          <w:rFonts w:ascii="Times New Roman" w:eastAsia="Times New Roman" w:hAnsi="Times New Roman" w:cs="Times New Roman"/>
          <w:sz w:val="24"/>
          <w:szCs w:val="24"/>
          <w:lang w:val="en-US" w:eastAsia="ru-RU"/>
        </w:rPr>
        <w:t>pto</w:t>
      </w:r>
      <w:proofErr w:type="spellEnd"/>
      <w:r w:rsidR="003A65D9">
        <w:rPr>
          <w:rFonts w:ascii="Times New Roman" w:eastAsia="Times New Roman" w:hAnsi="Times New Roman" w:cs="Times New Roman"/>
          <w:sz w:val="24"/>
          <w:szCs w:val="24"/>
          <w:lang w:eastAsia="ru-RU"/>
        </w:rPr>
        <w:t>1</w:t>
      </w:r>
      <w:r w:rsidR="00A05765" w:rsidRPr="00A05765">
        <w:rPr>
          <w:rFonts w:ascii="Times New Roman" w:eastAsia="Times New Roman" w:hAnsi="Times New Roman" w:cs="Times New Roman"/>
          <w:sz w:val="24"/>
          <w:szCs w:val="24"/>
          <w:lang w:eastAsia="ru-RU"/>
        </w:rPr>
        <w:t>@</w:t>
      </w:r>
      <w:proofErr w:type="spellStart"/>
      <w:r w:rsidR="00A05765">
        <w:rPr>
          <w:rFonts w:ascii="Times New Roman" w:eastAsia="Times New Roman" w:hAnsi="Times New Roman" w:cs="Times New Roman"/>
          <w:sz w:val="24"/>
          <w:szCs w:val="24"/>
          <w:lang w:val="en-US" w:eastAsia="ru-RU"/>
        </w:rPr>
        <w:t>oaoner</w:t>
      </w:r>
      <w:proofErr w:type="spellEnd"/>
      <w:r w:rsidR="00A05765" w:rsidRPr="00A05765">
        <w:rPr>
          <w:rFonts w:ascii="Times New Roman" w:eastAsia="Times New Roman" w:hAnsi="Times New Roman" w:cs="Times New Roman"/>
          <w:sz w:val="24"/>
          <w:szCs w:val="24"/>
          <w:lang w:eastAsia="ru-RU"/>
        </w:rPr>
        <w:t>.</w:t>
      </w:r>
      <w:proofErr w:type="spellStart"/>
      <w:r w:rsidR="00A05765">
        <w:rPr>
          <w:rFonts w:ascii="Times New Roman" w:eastAsia="Times New Roman" w:hAnsi="Times New Roman" w:cs="Times New Roman"/>
          <w:sz w:val="24"/>
          <w:szCs w:val="24"/>
          <w:lang w:val="en-US" w:eastAsia="ru-RU"/>
        </w:rPr>
        <w:t>ru</w:t>
      </w:r>
      <w:proofErr w:type="spellEnd"/>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2BB921C8" w14:textId="77777777" w:rsidR="00A05765" w:rsidRDefault="00A05765" w:rsidP="001F3675">
      <w:pPr>
        <w:autoSpaceDE w:val="0"/>
        <w:autoSpaceDN w:val="0"/>
        <w:spacing w:before="6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EAA2ABF" w14:textId="3C3F04E9" w:rsidR="001F3675" w:rsidRPr="001F3675" w:rsidRDefault="001F3675" w:rsidP="001F3675">
      <w:pPr>
        <w:autoSpaceDE w:val="0"/>
        <w:autoSpaceDN w:val="0"/>
        <w:spacing w:before="60"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11.</w:t>
      </w:r>
      <w:r w:rsidRPr="001F3675">
        <w:rPr>
          <w:rFonts w:ascii="Times New Roman" w:eastAsia="Times New Roman" w:hAnsi="Times New Roman" w:cs="Times New Roman"/>
          <w:sz w:val="24"/>
          <w:szCs w:val="24"/>
          <w:lang w:eastAsia="ru-RU"/>
        </w:rPr>
        <w:t xml:space="preserve"> Подробное описание закупаемой продукции, условий Договора, а также требования к претендентам содержатся в Техническом задании, которое является приложением к данному </w:t>
      </w:r>
      <w:r w:rsidR="00A05765">
        <w:rPr>
          <w:rFonts w:ascii="Times New Roman" w:eastAsia="Times New Roman" w:hAnsi="Times New Roman" w:cs="Times New Roman"/>
          <w:sz w:val="24"/>
          <w:szCs w:val="24"/>
          <w:lang w:eastAsia="ru-RU"/>
        </w:rPr>
        <w:t>извещению (приложение №2</w:t>
      </w:r>
      <w:r w:rsidRPr="001F3675">
        <w:rPr>
          <w:rFonts w:ascii="Times New Roman" w:eastAsia="Times New Roman" w:hAnsi="Times New Roman" w:cs="Times New Roman"/>
          <w:sz w:val="24"/>
          <w:szCs w:val="24"/>
          <w:lang w:eastAsia="ru-RU"/>
        </w:rPr>
        <w:t>)</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720B756A"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12.</w:t>
      </w:r>
      <w:r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7777777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13.</w:t>
      </w:r>
      <w:r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77777777"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Форма  предложения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42766693" w14:textId="74C59E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2. ТЗ на выполнение работ</w:t>
      </w:r>
      <w:r w:rsidR="00687E83">
        <w:rPr>
          <w:rFonts w:ascii="Times New Roman" w:eastAsia="Times New Roman" w:hAnsi="Times New Roman" w:cs="Times New Roman"/>
          <w:sz w:val="24"/>
          <w:szCs w:val="24"/>
          <w:lang w:eastAsia="ru-RU"/>
        </w:rPr>
        <w:t>.</w:t>
      </w:r>
    </w:p>
    <w:p w14:paraId="5349FADB" w14:textId="5C516C9A"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3. Ведомость объемов</w:t>
      </w:r>
      <w:r w:rsidR="00687E83">
        <w:rPr>
          <w:rFonts w:ascii="Times New Roman" w:eastAsia="Times New Roman" w:hAnsi="Times New Roman" w:cs="Times New Roman"/>
          <w:sz w:val="24"/>
          <w:szCs w:val="24"/>
          <w:lang w:eastAsia="ru-RU"/>
        </w:rPr>
        <w:t>.</w:t>
      </w:r>
    </w:p>
    <w:p w14:paraId="50D5E73D" w14:textId="6C488392" w:rsidR="001F3675" w:rsidRPr="001F3675" w:rsidRDefault="00D06C08"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5B7679F5"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517310BB"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7C30C4DC" w14:textId="77777777" w:rsidR="00687E83" w:rsidRPr="00584EF2" w:rsidRDefault="00687E83" w:rsidP="00687E83">
      <w:pPr>
        <w:tabs>
          <w:tab w:val="left" w:pos="8080"/>
        </w:tabs>
        <w:spacing w:after="0" w:line="240" w:lineRule="auto"/>
        <w:contextualSpacing/>
        <w:rPr>
          <w:rFonts w:ascii="Times New Roman" w:hAnsi="Times New Roman" w:cs="Times New Roman"/>
          <w:sz w:val="24"/>
          <w:szCs w:val="24"/>
        </w:rPr>
      </w:pPr>
    </w:p>
    <w:p w14:paraId="6B318B76" w14:textId="1E7BFE32" w:rsidR="00687E83" w:rsidRPr="00584EF2" w:rsidRDefault="009B691F"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r w:rsidR="00687E83" w:rsidRPr="00584EF2">
        <w:rPr>
          <w:rFonts w:ascii="Times New Roman" w:hAnsi="Times New Roman" w:cs="Times New Roman"/>
          <w:sz w:val="24"/>
          <w:szCs w:val="24"/>
        </w:rPr>
        <w:t xml:space="preserve">                                                  </w:t>
      </w:r>
    </w:p>
    <w:p w14:paraId="66C01770" w14:textId="77777777"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 xml:space="preserve">ОАО «Нерюнгриэнергоремонт»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Семчук </w:t>
      </w:r>
    </w:p>
    <w:p w14:paraId="3914F883" w14:textId="77777777" w:rsidR="001F3675" w:rsidRDefault="001F3675" w:rsidP="001F3675">
      <w:pPr>
        <w:spacing w:after="0" w:line="240" w:lineRule="auto"/>
        <w:jc w:val="both"/>
        <w:rPr>
          <w:rFonts w:ascii="Times New Roman" w:eastAsia="Times New Roman" w:hAnsi="Times New Roman" w:cs="Times New Roman"/>
          <w:sz w:val="24"/>
          <w:szCs w:val="24"/>
          <w:lang w:eastAsia="ru-RU"/>
        </w:rPr>
      </w:pPr>
    </w:p>
    <w:p w14:paraId="50632E47"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17784661"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0D9B0D7A"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02F95B0C" w14:textId="77777777" w:rsidR="00687E83" w:rsidRDefault="00687E83" w:rsidP="001F3675">
      <w:pPr>
        <w:spacing w:after="0" w:line="240" w:lineRule="auto"/>
        <w:jc w:val="both"/>
        <w:rPr>
          <w:rFonts w:ascii="Times New Roman" w:eastAsia="Times New Roman" w:hAnsi="Times New Roman" w:cs="Times New Roman"/>
          <w:sz w:val="24"/>
          <w:szCs w:val="24"/>
          <w:lang w:eastAsia="ru-RU"/>
        </w:rPr>
      </w:pPr>
    </w:p>
    <w:p w14:paraId="7EA7BA79" w14:textId="3AA18FB9" w:rsidR="00687E83" w:rsidRDefault="001F3675" w:rsidP="001F3675">
      <w:pPr>
        <w:spacing w:after="0" w:line="240" w:lineRule="auto"/>
        <w:rPr>
          <w:rFonts w:ascii="Times New Roman" w:eastAsia="Times New Roman" w:hAnsi="Times New Roman" w:cs="Times New Roman"/>
          <w:sz w:val="20"/>
          <w:szCs w:val="24"/>
          <w:lang w:eastAsia="ru-RU"/>
        </w:rPr>
      </w:pPr>
      <w:r w:rsidRPr="001F3675">
        <w:rPr>
          <w:rFonts w:ascii="Times New Roman" w:eastAsia="Times New Roman" w:hAnsi="Times New Roman" w:cs="Times New Roman"/>
          <w:sz w:val="20"/>
          <w:szCs w:val="24"/>
          <w:lang w:eastAsia="ru-RU"/>
        </w:rPr>
        <w:t xml:space="preserve">исп. </w:t>
      </w:r>
      <w:r w:rsidR="00A330B7">
        <w:rPr>
          <w:rFonts w:ascii="Times New Roman" w:eastAsia="Times New Roman" w:hAnsi="Times New Roman" w:cs="Times New Roman"/>
          <w:sz w:val="20"/>
          <w:szCs w:val="24"/>
          <w:lang w:eastAsia="ru-RU"/>
        </w:rPr>
        <w:t>инженер ПТО Вологдина Д.В.</w:t>
      </w:r>
    </w:p>
    <w:p w14:paraId="4EFAE8F5" w14:textId="6A6E9DE0" w:rsidR="001F3675" w:rsidRPr="001F3675"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6A84D597"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3A65D9">
        <w:rPr>
          <w:rFonts w:ascii="Times New Roman" w:eastAsia="Times New Roman" w:hAnsi="Times New Roman" w:cs="Times New Roman"/>
          <w:noProof/>
          <w:sz w:val="20"/>
          <w:szCs w:val="24"/>
          <w:lang w:val="en-US" w:eastAsia="ru-RU"/>
        </w:rPr>
        <w:t>pto</w:t>
      </w:r>
      <w:r w:rsidR="003A65D9" w:rsidRPr="003A65D9">
        <w:rPr>
          <w:rFonts w:ascii="Times New Roman" w:eastAsia="Times New Roman" w:hAnsi="Times New Roman" w:cs="Times New Roman"/>
          <w:noProof/>
          <w:sz w:val="20"/>
          <w:szCs w:val="24"/>
          <w:lang w:val="en-US" w:eastAsia="ru-RU"/>
        </w:rPr>
        <w:t>1</w:t>
      </w:r>
      <w:r w:rsidR="00687E83">
        <w:rPr>
          <w:rFonts w:ascii="Times New Roman" w:eastAsia="Times New Roman" w:hAnsi="Times New Roman" w:cs="Times New Roman"/>
          <w:noProof/>
          <w:sz w:val="20"/>
          <w:szCs w:val="24"/>
          <w:lang w:val="en-US" w:eastAsia="ru-RU"/>
        </w:rPr>
        <w:t>@oaoner.ru</w:t>
      </w:r>
      <w:hyperlink r:id="rId7" w:history="1"/>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48C58D92"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9B691F">
        <w:rPr>
          <w:rFonts w:ascii="Times New Roman" w:eastAsia="Times New Roman" w:hAnsi="Times New Roman" w:cs="Times New Roman"/>
          <w:sz w:val="24"/>
          <w:szCs w:val="24"/>
          <w:lang w:eastAsia="ru-RU"/>
        </w:rPr>
        <w:t xml:space="preserve">                               Председателю закупочной комиссии</w:t>
      </w:r>
    </w:p>
    <w:p w14:paraId="636C31F6" w14:textId="4732D4BA" w:rsidR="009B691F" w:rsidRPr="00687E83" w:rsidRDefault="009B691F"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«Нерюнгриэнегоремонт»</w:t>
      </w:r>
      <w:bookmarkStart w:id="0" w:name="_GoBack"/>
      <w:bookmarkEnd w:id="0"/>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sz w:val="24"/>
          <w:szCs w:val="24"/>
          <w:lang w:eastAsia="ru-RU"/>
        </w:rPr>
        <w:t>на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77777777"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  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Изучив направленный Вами запрос, мы предлагаем выполнить следующие работы/оказать следующие услуги: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на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1D61C80"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Приложение:   1. </w:t>
      </w:r>
      <w:r w:rsidR="00803534">
        <w:rPr>
          <w:rFonts w:ascii="Times New Roman" w:eastAsia="Times New Roman" w:hAnsi="Times New Roman" w:cs="Times New Roman"/>
          <w:sz w:val="24"/>
          <w:szCs w:val="24"/>
          <w:lang w:eastAsia="ru-RU"/>
        </w:rPr>
        <w:t>Сметная документация</w:t>
      </w:r>
      <w:r w:rsidRPr="00687E83">
        <w:rPr>
          <w:rFonts w:ascii="Times New Roman" w:eastAsia="Times New Roman" w:hAnsi="Times New Roman" w:cs="Times New Roman"/>
          <w:sz w:val="24"/>
          <w:szCs w:val="24"/>
          <w:lang w:eastAsia="ru-RU"/>
        </w:rPr>
        <w:t>.</w:t>
      </w:r>
    </w:p>
    <w:p w14:paraId="6B280448"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2. Копия лицензии на право осуществления работ/осуществления 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(печать  Исполнителя)</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687E8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2530"/>
    <w:rsid w:val="001A6D40"/>
    <w:rsid w:val="001A6D48"/>
    <w:rsid w:val="001B2397"/>
    <w:rsid w:val="001B5517"/>
    <w:rsid w:val="001B5CF5"/>
    <w:rsid w:val="001B7598"/>
    <w:rsid w:val="001C2ECC"/>
    <w:rsid w:val="001C772B"/>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478"/>
    <w:rsid w:val="002B10A2"/>
    <w:rsid w:val="002B2110"/>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3F4"/>
    <w:rsid w:val="00350AC2"/>
    <w:rsid w:val="0035535E"/>
    <w:rsid w:val="00355768"/>
    <w:rsid w:val="003605BF"/>
    <w:rsid w:val="003653C7"/>
    <w:rsid w:val="00367733"/>
    <w:rsid w:val="00382F02"/>
    <w:rsid w:val="00386494"/>
    <w:rsid w:val="0039070B"/>
    <w:rsid w:val="00393010"/>
    <w:rsid w:val="00393072"/>
    <w:rsid w:val="003A658A"/>
    <w:rsid w:val="003A65D9"/>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A67"/>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35B"/>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7566"/>
    <w:rsid w:val="00657A06"/>
    <w:rsid w:val="00660389"/>
    <w:rsid w:val="0066302C"/>
    <w:rsid w:val="006633FD"/>
    <w:rsid w:val="00663BDB"/>
    <w:rsid w:val="00665D51"/>
    <w:rsid w:val="0067002F"/>
    <w:rsid w:val="00671C35"/>
    <w:rsid w:val="00672396"/>
    <w:rsid w:val="00675989"/>
    <w:rsid w:val="0067680C"/>
    <w:rsid w:val="00687E83"/>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B07"/>
    <w:rsid w:val="007B2C28"/>
    <w:rsid w:val="007B2ED2"/>
    <w:rsid w:val="007B4602"/>
    <w:rsid w:val="007B54DD"/>
    <w:rsid w:val="007B5D11"/>
    <w:rsid w:val="007B79A4"/>
    <w:rsid w:val="007C1887"/>
    <w:rsid w:val="007C1953"/>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7FB6"/>
    <w:rsid w:val="00881553"/>
    <w:rsid w:val="00884987"/>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691F"/>
    <w:rsid w:val="009C0967"/>
    <w:rsid w:val="009C10E7"/>
    <w:rsid w:val="009D3E8B"/>
    <w:rsid w:val="009D768E"/>
    <w:rsid w:val="009D773A"/>
    <w:rsid w:val="009E0EF6"/>
    <w:rsid w:val="009E53B6"/>
    <w:rsid w:val="009E5EC3"/>
    <w:rsid w:val="009E716F"/>
    <w:rsid w:val="009E7C78"/>
    <w:rsid w:val="009F2C92"/>
    <w:rsid w:val="009F44AB"/>
    <w:rsid w:val="00A04C47"/>
    <w:rsid w:val="00A05765"/>
    <w:rsid w:val="00A169BC"/>
    <w:rsid w:val="00A25DAF"/>
    <w:rsid w:val="00A32351"/>
    <w:rsid w:val="00A32D5B"/>
    <w:rsid w:val="00A330B7"/>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2DF9"/>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21CA"/>
    <w:rsid w:val="00C83332"/>
    <w:rsid w:val="00C838C7"/>
    <w:rsid w:val="00C94928"/>
    <w:rsid w:val="00C9570B"/>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AB2"/>
    <w:rsid w:val="00DA1F07"/>
    <w:rsid w:val="00DA2BB3"/>
    <w:rsid w:val="00DA68F8"/>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ECE"/>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BF6"/>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9A1DA75E-C2F7-4345-8BD0-48EDFB40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27</cp:revision>
  <dcterms:created xsi:type="dcterms:W3CDTF">2014-10-30T06:58:00Z</dcterms:created>
  <dcterms:modified xsi:type="dcterms:W3CDTF">2015-05-18T07:57:00Z</dcterms:modified>
</cp:coreProperties>
</file>